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pPr>
        <w:spacing w:after="2400" w:before="0"/>
        <w:jc w:val="left"/>
      </w:pPr>
      <w:r>
        <w:drawing>
          <wp:inline>
            <wp:extent cx="2048256" cy="651281"/>
            <wp:docPr id="1" name="Picture 1"/>
            <wp:cNvGraphicFramePr>
              <a:graphicFrameLocks noChangeAspect="1"/>
            </wp:cNvGraphicFramePr>
            <a:graphic>
              <a:graphicData uri="http://schemas.openxmlformats.org/drawingml/2006/picture">
                <pic:pic>
                  <pic:nvPicPr>
                    <pic:cNvPr id="0" name="Nymi_Logo_RGB.png"/>
                    <pic:cNvPicPr/>
                  </pic:nvPicPr>
                  <pic:blipFill>
                    <a:blip r:embed="rId9"/>
                    <a:stretch>
                      <a:fillRect/>
                    </a:stretch>
                  </pic:blipFill>
                  <pic:spPr>
                    <a:xfrm>
                      <a:off x="0" y="0"/>
                      <a:ext cx="2048256" cy="651281"/>
                    </a:xfrm>
                    <a:prstGeom prst="rect"/>
                  </pic:spPr>
                </pic:pic>
              </a:graphicData>
            </a:graphic>
          </wp:inline>
        </w:drawing>
      </w:r>
    </w:p>
    <w:p>
      <w:pPr>
        <w:pStyle w:val="Title"/>
        <w:spacing w:before="0" w:after="80"/>
        <w:jc w:val="right"/>
      </w:pPr>
      <w:r>
        <w:rPr>
          <w:rFonts w:ascii="Avenir Next" w:hAnsi="Avenir Next"/>
          <w:b w:val="0"/>
          <w:color w:val="28BEC6"/>
          <w:sz w:val="72"/>
        </w:rPr>
        <w:t xml:space="preserve">Nymi User Requirements Specifications</w:t>
      </w:r>
    </w:p>
    <w:p>
      <w:pPr>
        <w:pStyle w:val="Subtitle"/>
        <w:spacing w:before="0" w:after="0"/>
        <w:jc w:val="right"/>
      </w:pPr>
      <w:r>
        <w:rPr>
          <w:rFonts w:ascii="Avenir Next" w:hAnsi="Avenir Next"/>
          <w:b w:val="0"/>
          <w:color w:val="28BEC6"/>
          <w:sz w:val="48"/>
        </w:rPr>
        <w:t xml:space="preserve">Connected Worker Platform</w:t>
      </w:r>
    </w:p>
    <w:p>
      <w:pPr>
        <w:spacing w:before="2400" w:after="0"/>
        <w:jc w:val="right"/>
      </w:pPr>
      <w:r>
        <w:rPr>
          <w:rFonts w:ascii="Avenir Next" w:hAnsi="Avenir Next"/>
          <w:b w:val="0"/>
          <w:color w:val="3C3D3E"/>
          <w:sz w:val="36"/>
        </w:rPr>
        <w:t>1.5.x-1.20.x 2026-04-11</w:t>
      </w:r>
      <w:r>
        <w:br w:type="page"/>
      </w:r>
    </w:p>
    <w:p>
      <w:pPr>
        <w:pStyle w:val="TOCHeading"/>
      </w:pPr>
      <w:r>
        <w:rPr>
          <w:color w:val="1F3040"/>
        </w:rPr>
        <w:t>Table of Contents</w:t>
      </w:r>
    </w:p>
    <w:p>
      <w:pPr>
        <w:pStyle w:val="TOC1"/>
      </w:pPr>
      <w:r>
        <w:t xml:space="preserve">1	Introduction</w:t>
      </w:r>
    </w:p>
    <w:p>
      <w:pPr>
        <w:pStyle w:val="TOC1"/>
      </w:pPr>
      <w:r>
        <w:t xml:space="preserve">2	Overview</w:t>
      </w:r>
    </w:p>
    <w:p>
      <w:pPr>
        <w:pStyle w:val="TOC1"/>
      </w:pPr>
      <w:r>
        <w:t xml:space="preserve">3	Responsibilities</w:t>
      </w:r>
    </w:p>
    <w:p>
      <w:pPr>
        <w:pStyle w:val="TOC1"/>
      </w:pPr>
      <w:r>
        <w:t xml:space="preserve">4	Quality Requirements</w:t>
      </w:r>
    </w:p>
    <w:p>
      <w:pPr>
        <w:pStyle w:val="TOC1"/>
      </w:pPr>
      <w:r>
        <w:t xml:space="preserve">5	Solution Overview</w:t>
      </w:r>
    </w:p>
    <w:p>
      <w:pPr>
        <w:pStyle w:val="TOC1"/>
      </w:pPr>
      <w:r>
        <w:t xml:space="preserve">6	Operational Requirements</w:t>
      </w:r>
    </w:p>
    <w:p>
      <w:pPr>
        <w:pStyle w:val="TOC2"/>
      </w:pPr>
      <w:r>
        <w:t xml:space="preserve">6.1	Functional Requirements</w:t>
      </w:r>
    </w:p>
    <w:p>
      <w:pPr>
        <w:pStyle w:val="TOC2"/>
      </w:pPr>
      <w:r>
        <w:t xml:space="preserve">6.2	Data requirements</w:t>
      </w:r>
    </w:p>
    <w:p>
      <w:pPr>
        <w:pStyle w:val="TOC2"/>
      </w:pPr>
      <w:r>
        <w:t xml:space="preserve">6.3	Technical Requirements</w:t>
      </w:r>
    </w:p>
    <w:p>
      <w:pPr>
        <w:pStyle w:val="TOC2"/>
      </w:pPr>
      <w:r>
        <w:t xml:space="preserve">6.4	Interface requirements (User interface)</w:t>
      </w:r>
    </w:p>
    <w:p>
      <w:pPr>
        <w:pStyle w:val="TOC2"/>
      </w:pPr>
      <w:r>
        <w:t xml:space="preserve">6.5	Environment Requirements</w:t>
      </w:r>
    </w:p>
    <w:p>
      <w:pPr>
        <w:pStyle w:val="TOC1"/>
      </w:pPr>
      <w:r>
        <w:t xml:space="preserve">7	Constraints</w:t>
      </w:r>
    </w:p>
    <w:p>
      <w:pPr>
        <w:pStyle w:val="TOC1"/>
      </w:pPr>
      <w:r>
        <w:t xml:space="preserve">8	Lifecycle Requirements</w:t>
      </w:r>
    </w:p>
    <w:p>
      <w:pPr>
        <w:pStyle w:val="TOC1"/>
      </w:pPr>
      <w:r>
        <w:t xml:space="preserve">9	Glossary</w:t>
      </w:r>
    </w:p>
    <w:p>
      <w:pPr>
        <w:pStyle w:val="TOC1"/>
      </w:pPr>
      <w:r>
        <w:t xml:space="preserve">10	Approvals</w:t>
      </w:r>
    </w:p>
    <w:p>
      <w:pPr>
        <w:pStyle w:val="TOC1"/>
      </w:pPr>
      <w:r>
        <w:t xml:space="preserve">11	Out of Scope</w:t>
      </w:r>
    </w:p>
    <w:bookmarkStart w:id="9" w:name="introduction"/>
    <w:p>
      <w:pPr>
        <w:pStyle w:val="Heading2"/>
        <w:pageBreakBefore/>
      </w:pPr>
      <w:r>
        <w:rPr>
          <w:rStyle w:val="SectionNumber"/>
          <w:rFonts w:ascii="Avenir Next" w:hAnsi="Avenir Next"/>
          <w:b w:val="0"/>
          <w:i w:val="0"/>
          <w:color w:val="28BEC6"/>
          <w:sz w:val="36"/>
        </w:rPr>
        <w:t xml:space="preserve">1</w:t>
      </w:r>
      <w:r>
        <w:rPr>
          <w:rFonts w:ascii="Avenir Next" w:hAnsi="Avenir Next"/>
          <w:b w:val="0"/>
          <w:i w:val="0"/>
          <w:color w:val="28BEC6"/>
          <w:sz w:val="36"/>
        </w:rPr>
        <w:tab/>
      </w:r>
      <w:r>
        <w:rPr>
          <w:rFonts w:ascii="Avenir Next" w:hAnsi="Avenir Next"/>
          <w:b w:val="0"/>
          <w:i w:val="0"/>
          <w:color w:val="28BEC6"/>
          <w:sz w:val="36"/>
        </w:rPr>
        <w:t xml:space="preserve">Introduction</w:t>
      </w:r>
    </w:p>
    <w:p>
      <w:pPr>
        <w:pStyle w:val="FirstParagraph"/>
      </w:pPr>
      <w:r>
        <w:t xml:space="preserve">This document is the User Requirements Specification (URS) for a solution in which user authentication for login and electronic signatures is based on biometrics instead of usernames and passwords.</w:t>
      </w:r>
    </w:p>
    <w:p>
      <w:pPr>
        <w:pStyle w:val="BodyText"/>
      </w:pPr>
      <w:r>
        <w:t xml:space="preserve">Nymi provides a biometric wearable (Nymi Band) as the authentication device.</w:t>
      </w:r>
    </w:p>
    <w:p>
      <w:pPr>
        <w:pStyle w:val="BodyText"/>
      </w:pPr>
      <w:r>
        <w:t xml:space="preserve">For the intent of this sample URS the solution covers CWP for providing biometric authentication with configured application, such as a Manufacturing Execution System (MES).</w:t>
      </w:r>
    </w:p>
    <w:bookmarkEnd w:id="9"/>
    <w:bookmarkStart w:id="10" w:name="overview"/>
    <w:p>
      <w:pPr>
        <w:pStyle w:val="Heading2"/>
        <w:pageBreakBefore/>
      </w:pPr>
      <w:r>
        <w:rPr>
          <w:rStyle w:val="SectionNumber"/>
          <w:rFonts w:ascii="Avenir Next" w:hAnsi="Avenir Next"/>
          <w:b w:val="0"/>
          <w:i w:val="0"/>
          <w:color w:val="28BEC6"/>
          <w:sz w:val="36"/>
        </w:rPr>
        <w:t xml:space="preserve">2</w:t>
      </w:r>
      <w:r>
        <w:rPr>
          <w:rFonts w:ascii="Avenir Next" w:hAnsi="Avenir Next"/>
          <w:b w:val="0"/>
          <w:i w:val="0"/>
          <w:color w:val="28BEC6"/>
          <w:sz w:val="36"/>
        </w:rPr>
        <w:tab/>
      </w:r>
      <w:r>
        <w:rPr>
          <w:rFonts w:ascii="Avenir Next" w:hAnsi="Avenir Next"/>
          <w:b w:val="0"/>
          <w:i w:val="0"/>
          <w:color w:val="28BEC6"/>
          <w:sz w:val="36"/>
        </w:rPr>
        <w:t xml:space="preserve">Overview</w:t>
      </w:r>
    </w:p>
    <w:p>
      <w:pPr>
        <w:pStyle w:val="FirstParagraph"/>
      </w:pPr>
      <w:r>
        <w:t xml:space="preserve">This document is intended to document solution requirements for a fictitious environment. The environment details described in this document are for an example exercise and are not indicative of the full environmental support that is offered by the Nymi solution. Environment details that are used in this example are provided below.</w:t>
      </w:r>
    </w:p>
    <w:p>
      <w:pPr>
        <w:pStyle w:val="Compact"/>
        <w:numPr>
          <w:ilvl w:val="0"/>
          <w:numId w:val="1001"/>
        </w:numPr>
      </w:pPr>
      <w:r>
        <w:t xml:space="preserve">Windows 10 OS on terminal computers</w:t>
      </w:r>
    </w:p>
    <w:p>
      <w:pPr>
        <w:pStyle w:val="Compact"/>
        <w:numPr>
          <w:ilvl w:val="0"/>
          <w:numId w:val="1001"/>
        </w:numPr>
      </w:pPr>
      <w:r>
        <w:t xml:space="preserve">iOS devices, such as an iPad.</w:t>
      </w:r>
    </w:p>
    <w:p>
      <w:pPr>
        <w:pStyle w:val="Compact"/>
        <w:numPr>
          <w:ilvl w:val="0"/>
          <w:numId w:val="1001"/>
        </w:numPr>
      </w:pPr>
      <w:r>
        <w:t xml:space="preserve">Virtualized environment (thin clients) used in production for configured applications</w:t>
      </w:r>
    </w:p>
    <w:p>
      <w:pPr>
        <w:pStyle w:val="Compact"/>
        <w:numPr>
          <w:ilvl w:val="0"/>
          <w:numId w:val="1001"/>
        </w:numPr>
      </w:pPr>
      <w:r>
        <w:t xml:space="preserve">Windows 2016 OS for the server</w:t>
      </w:r>
    </w:p>
    <w:p>
      <w:pPr>
        <w:pStyle w:val="Compact"/>
        <w:numPr>
          <w:ilvl w:val="0"/>
          <w:numId w:val="1001"/>
        </w:numPr>
      </w:pPr>
      <w:r>
        <w:t xml:space="preserve">Manufacturing environment is Class A/B</w:t>
      </w:r>
    </w:p>
    <w:p>
      <w:pPr>
        <w:pStyle w:val="Compact"/>
        <w:numPr>
          <w:ilvl w:val="0"/>
          <w:numId w:val="1001"/>
        </w:numPr>
      </w:pPr>
      <w:r>
        <w:t xml:space="preserve">Cleaning requirement for manufacturing environment is isopropyl alcohol wipes (70%)</w:t>
      </w:r>
    </w:p>
    <w:p>
      <w:pPr>
        <w:pStyle w:val="FirstParagraph"/>
      </w:pPr>
      <w:r>
        <w:t xml:space="preserve">Nymi provides a biometric wearable (Nymi Band) as the authentication device. The overall goal of the system is to implement a biometric authentication solution to allow users of the system the ability to:</w:t>
      </w:r>
    </w:p>
    <w:p>
      <w:pPr>
        <w:pStyle w:val="Compact"/>
        <w:numPr>
          <w:ilvl w:val="0"/>
          <w:numId w:val="1002"/>
        </w:numPr>
      </w:pPr>
      <w:r>
        <w:t xml:space="preserve">Login and logout from windows, MES solutions and other applications</w:t>
      </w:r>
    </w:p>
    <w:p>
      <w:pPr>
        <w:pStyle w:val="Compact"/>
        <w:numPr>
          <w:ilvl w:val="0"/>
          <w:numId w:val="1002"/>
        </w:numPr>
      </w:pPr>
      <w:r>
        <w:t xml:space="preserve">Sign off using e-signatures on electronic records as outlined by process requirements</w:t>
      </w:r>
    </w:p>
    <w:p>
      <w:pPr>
        <w:pStyle w:val="FirstParagraph"/>
      </w:pPr>
      <w:r>
        <w:t xml:space="preserve">Implementation of a biometric authentication solution offers improved data integrity, reduced risk of compromised credentials and an improvement in user experience across the organization, particularly in secure pharmaceutical manufacturing.</w:t>
      </w:r>
    </w:p>
    <w:p>
      <w:pPr>
        <w:pStyle w:val="BodyText"/>
      </w:pPr>
      <w:r>
        <w:t xml:space="preserve">The system must maintain compliance with 21 CFR Part 11 and follow standards as outlined in GMP environments.</w:t>
      </w:r>
    </w:p>
    <w:bookmarkEnd w:id="10"/>
    <w:bookmarkStart w:id="11" w:name="responsibilities"/>
    <w:p>
      <w:pPr>
        <w:pStyle w:val="Heading2"/>
        <w:pageBreakBefore/>
      </w:pPr>
      <w:r>
        <w:rPr>
          <w:rStyle w:val="SectionNumber"/>
          <w:rFonts w:ascii="Avenir Next" w:hAnsi="Avenir Next"/>
          <w:b w:val="0"/>
          <w:i w:val="0"/>
          <w:color w:val="28BEC6"/>
          <w:sz w:val="36"/>
        </w:rPr>
        <w:t xml:space="preserve">3</w:t>
      </w:r>
      <w:r>
        <w:rPr>
          <w:rFonts w:ascii="Avenir Next" w:hAnsi="Avenir Next"/>
          <w:b w:val="0"/>
          <w:i w:val="0"/>
          <w:color w:val="28BEC6"/>
          <w:sz w:val="36"/>
        </w:rPr>
        <w:tab/>
      </w:r>
      <w:r>
        <w:rPr>
          <w:rFonts w:ascii="Avenir Next" w:hAnsi="Avenir Next"/>
          <w:b w:val="0"/>
          <w:i w:val="0"/>
          <w:color w:val="28BEC6"/>
          <w:sz w:val="36"/>
        </w:rPr>
        <w:t xml:space="preserve">Responsibilities</w:t>
      </w:r>
    </w:p>
    <w:p>
      <w:pPr>
        <w:pStyle w:val="FirstParagraph"/>
      </w:pPr>
      <w:r>
        <w:rPr>
          <w:i/>
          <w:iCs/>
        </w:rPr>
        <w:t xml:space="preserve">This section is drafted on typical responsibilities for stakeholders involved in the GAMP5 validation process. It is expected this section is tailored based on the company’s project teams and roles.</w:t>
      </w:r>
    </w:p>
    <w:p>
      <w:pPr>
        <w:pStyle w:val="BodyText"/>
      </w:pPr>
      <w:r>
        <w:t xml:space="preserve">In general, all stakeholders are required to review and approve this document.</w:t>
      </w:r>
    </w:p>
    <w:p>
      <w:pPr>
        <w:pStyle w:val="BodyText"/>
      </w:pPr>
      <w:r>
        <w:t xml:space="preserve">Additional responsibilities are as follows:</w:t>
      </w:r>
    </w:p>
    <w:p>
      <w:pPr>
        <w:pStyle w:val="DefinitionTerm"/>
      </w:pPr>
      <w:r>
        <w:t xml:space="preserve">System Owner:</w:t>
      </w:r>
    </w:p>
    <w:p>
      <w:pPr>
        <w:pStyle w:val="Compact"/>
        <w:numPr>
          <w:ilvl w:val="0"/>
          <w:numId w:val="1003"/>
        </w:numPr>
      </w:pPr>
      <w:r>
        <w:t xml:space="preserve">Editing and approving this URS.</w:t>
      </w:r>
    </w:p>
    <w:p>
      <w:pPr>
        <w:pStyle w:val="Compact"/>
        <w:numPr>
          <w:ilvl w:val="0"/>
          <w:numId w:val="1003"/>
        </w:numPr>
      </w:pPr>
      <w:r>
        <w:t xml:space="preserve">Ensuring this URS adheres to established internal and external guidelines for GAMP5 User Requirement Specification document generation.</w:t>
      </w:r>
    </w:p>
    <w:p>
      <w:pPr>
        <w:pStyle w:val="Compact"/>
        <w:numPr>
          <w:ilvl w:val="0"/>
          <w:numId w:val="1003"/>
        </w:numPr>
      </w:pPr>
      <w:r>
        <w:t xml:space="preserve">Owning Supplier Evaluation efforts with Supplier</w:t>
      </w:r>
    </w:p>
    <w:p>
      <w:pPr>
        <w:pStyle w:val="DefinitionTerm"/>
      </w:pPr>
      <w:r>
        <w:t xml:space="preserve">IT Team:</w:t>
      </w:r>
    </w:p>
    <w:p>
      <w:pPr>
        <w:pStyle w:val="Compact"/>
        <w:numPr>
          <w:ilvl w:val="0"/>
          <w:numId w:val="1004"/>
        </w:numPr>
      </w:pPr>
      <w:r>
        <w:t xml:space="preserve">Providing input and guidance in the creation of this URS as related to Information Technology and corporate business Solutions.</w:t>
      </w:r>
    </w:p>
    <w:p>
      <w:pPr>
        <w:pStyle w:val="DefinitionTerm"/>
      </w:pPr>
      <w:r>
        <w:t xml:space="preserve">Automation team:</w:t>
      </w:r>
    </w:p>
    <w:p>
      <w:pPr>
        <w:pStyle w:val="Compact"/>
        <w:numPr>
          <w:ilvl w:val="0"/>
          <w:numId w:val="1005"/>
        </w:numPr>
      </w:pPr>
      <w:r>
        <w:t xml:space="preserve">Providing input and guidance in the creation of this URS as related to automation Solutions.</w:t>
      </w:r>
    </w:p>
    <w:p>
      <w:pPr>
        <w:pStyle w:val="DefinitionTerm"/>
      </w:pPr>
      <w:r>
        <w:t xml:space="preserve">QA:</w:t>
      </w:r>
    </w:p>
    <w:p>
      <w:pPr>
        <w:pStyle w:val="Compact"/>
        <w:numPr>
          <w:ilvl w:val="0"/>
          <w:numId w:val="1006"/>
        </w:numPr>
      </w:pPr>
      <w:r>
        <w:t xml:space="preserve">Ensuring this URS adheres to established internal and external guidelines.</w:t>
      </w:r>
    </w:p>
    <w:p>
      <w:pPr>
        <w:pStyle w:val="Compact"/>
        <w:numPr>
          <w:ilvl w:val="0"/>
          <w:numId w:val="1006"/>
        </w:numPr>
      </w:pPr>
      <w:r>
        <w:t xml:space="preserve">Assist with Supplier Evaluation</w:t>
      </w:r>
    </w:p>
    <w:bookmarkEnd w:id="11"/>
    <w:bookmarkStart w:id="12" w:name="quality-requirements"/>
    <w:p>
      <w:pPr>
        <w:pStyle w:val="Heading2"/>
        <w:pageBreakBefore/>
      </w:pPr>
      <w:r>
        <w:rPr>
          <w:rStyle w:val="SectionNumber"/>
          <w:rFonts w:ascii="Avenir Next" w:hAnsi="Avenir Next"/>
          <w:b w:val="0"/>
          <w:i w:val="0"/>
          <w:color w:val="28BEC6"/>
          <w:sz w:val="36"/>
        </w:rPr>
        <w:t xml:space="preserve">4</w:t>
      </w:r>
      <w:r>
        <w:rPr>
          <w:rFonts w:ascii="Avenir Next" w:hAnsi="Avenir Next"/>
          <w:b w:val="0"/>
          <w:i w:val="0"/>
          <w:color w:val="28BEC6"/>
          <w:sz w:val="36"/>
        </w:rPr>
        <w:tab/>
      </w:r>
      <w:r>
        <w:rPr>
          <w:rFonts w:ascii="Avenir Next" w:hAnsi="Avenir Next"/>
          <w:b w:val="0"/>
          <w:i w:val="0"/>
          <w:color w:val="28BEC6"/>
          <w:sz w:val="36"/>
        </w:rPr>
        <w:t xml:space="preserve">Quality Requirements</w:t>
      </w:r>
    </w:p>
    <w:p>
      <w:pPr>
        <w:pStyle w:val="FirstParagraph"/>
      </w:pPr>
      <w:r>
        <w:t xml:space="preserve">A service agreement and quality agreement will be developed and agreed to by both parties involved. The vendor must be willing to participate in an audit of their development and quality practices against industry standard and organizational criteria.</w:t>
      </w:r>
    </w:p>
    <w:p>
      <w:pPr>
        <w:pStyle w:val="BodyText"/>
      </w:pPr>
      <w:r>
        <w:t xml:space="preserve">There are no requirements that have been identified as critical to quality for the solution. Quality critical requirements, such as critical process parameters (CPP) and critical quality attributes (CQA) are unique to a specific manufacturing environment. The impact and risk related to the implementation of Connected Worker Platform is low.</w:t>
      </w:r>
    </w:p>
    <w:p>
      <w:pPr>
        <w:pStyle w:val="BodyText"/>
      </w:pPr>
      <w:r>
        <w:t xml:space="preserve">As a supplier, the pharmaceutical manufacturing company needs to leverage supplier activities to the maximum possible extent, and also ensure fitness for intended use, which is why Nymi, as outlined in the GAMP guidance, fully supports customers with GAMP Software Validation packages and supports supplier assessments.</w:t>
      </w:r>
    </w:p>
    <w:bookmarkEnd w:id="12"/>
    <w:bookmarkStart w:id="13" w:name="solution-overview"/>
    <w:p>
      <w:pPr>
        <w:pStyle w:val="Heading2"/>
        <w:pageBreakBefore/>
      </w:pPr>
      <w:r>
        <w:rPr>
          <w:rStyle w:val="SectionNumber"/>
          <w:rFonts w:ascii="Avenir Next" w:hAnsi="Avenir Next"/>
          <w:b w:val="0"/>
          <w:i w:val="0"/>
          <w:color w:val="28BEC6"/>
          <w:sz w:val="36"/>
        </w:rPr>
        <w:t xml:space="preserve">5</w:t>
      </w:r>
      <w:r>
        <w:rPr>
          <w:rFonts w:ascii="Avenir Next" w:hAnsi="Avenir Next"/>
          <w:b w:val="0"/>
          <w:i w:val="0"/>
          <w:color w:val="28BEC6"/>
          <w:sz w:val="36"/>
        </w:rPr>
        <w:tab/>
      </w:r>
      <w:r>
        <w:rPr>
          <w:rFonts w:ascii="Avenir Next" w:hAnsi="Avenir Next"/>
          <w:b w:val="0"/>
          <w:i w:val="0"/>
          <w:color w:val="28BEC6"/>
          <w:sz w:val="36"/>
        </w:rPr>
        <w:t xml:space="preserve">Solution Overview</w:t>
      </w:r>
    </w:p>
    <w:p>
      <w:pPr>
        <w:pStyle w:val="FirstParagraph"/>
      </w:pPr>
      <w:r>
        <w:t xml:space="preserve">The objective of the solution is to provide standard functionality for the following activities:</w:t>
      </w:r>
    </w:p>
    <w:p>
      <w:pPr>
        <w:pStyle w:val="Compact"/>
        <w:numPr>
          <w:ilvl w:val="0"/>
          <w:numId w:val="1007"/>
        </w:numPr>
      </w:pPr>
      <w:r>
        <w:t xml:space="preserve">Enroll and unenroll a wearable biometric device with a user.</w:t>
      </w:r>
    </w:p>
    <w:p>
      <w:pPr>
        <w:pStyle w:val="Compact"/>
        <w:numPr>
          <w:ilvl w:val="0"/>
          <w:numId w:val="1007"/>
        </w:numPr>
      </w:pPr>
      <w:r>
        <w:t xml:space="preserve">Authenticate users to facilitate log in to and log out from a Windows 10 device</w:t>
      </w:r>
    </w:p>
    <w:p>
      <w:pPr>
        <w:pStyle w:val="Compact"/>
        <w:numPr>
          <w:ilvl w:val="0"/>
          <w:numId w:val="1007"/>
        </w:numPr>
      </w:pPr>
      <w:r>
        <w:t xml:space="preserve">Allow users to complete authentication tasks that normally require the user to supply a username and password, with the tap of their authenticated Nymi Band</w:t>
      </w:r>
    </w:p>
    <w:p>
      <w:pPr>
        <w:pStyle w:val="Compact"/>
        <w:numPr>
          <w:ilvl w:val="0"/>
          <w:numId w:val="1007"/>
        </w:numPr>
      </w:pPr>
      <w:r>
        <w:t xml:space="preserve">Administer the configuration of the Solution, modify configuration settings, and maintain users and devices</w:t>
      </w:r>
    </w:p>
    <w:p>
      <w:pPr>
        <w:pStyle w:val="FirstParagraph"/>
      </w:pPr>
      <w:r>
        <w:t xml:space="preserve">This project introduces a solution that can be utilized during the manufacturing of products, to reduce reliance on a username and password for authentication/sign off on production activities.</w:t>
      </w:r>
    </w:p>
    <w:bookmarkEnd w:id="13"/>
    <w:bookmarkStart w:id="19" w:name="operational-requirements"/>
    <w:p>
      <w:pPr>
        <w:pStyle w:val="Heading2"/>
        <w:pageBreakBefore/>
      </w:pPr>
      <w:r>
        <w:rPr>
          <w:rStyle w:val="SectionNumber"/>
          <w:rFonts w:ascii="Avenir Next" w:hAnsi="Avenir Next"/>
          <w:b w:val="0"/>
          <w:i w:val="0"/>
          <w:color w:val="28BEC6"/>
          <w:sz w:val="36"/>
        </w:rPr>
        <w:t xml:space="preserve">6</w:t>
      </w:r>
      <w:r>
        <w:rPr>
          <w:rFonts w:ascii="Avenir Next" w:hAnsi="Avenir Next"/>
          <w:b w:val="0"/>
          <w:i w:val="0"/>
          <w:color w:val="28BEC6"/>
          <w:sz w:val="36"/>
        </w:rPr>
        <w:tab/>
      </w:r>
      <w:r>
        <w:rPr>
          <w:rFonts w:ascii="Avenir Next" w:hAnsi="Avenir Next"/>
          <w:b w:val="0"/>
          <w:i w:val="0"/>
          <w:color w:val="28BEC6"/>
          <w:sz w:val="36"/>
        </w:rPr>
        <w:t xml:space="preserve">Operational Requirements</w:t>
      </w:r>
    </w:p>
    <w:p>
      <w:pPr>
        <w:pStyle w:val="FirstParagraph"/>
      </w:pPr>
      <w:r>
        <w:rPr>
          <w:i/>
          <w:iCs/>
        </w:rPr>
        <w:t xml:space="preserve">This section has been drafted based on a fictitious customer environment, and evaluation of the solution within this environment. This document does not cover all environment requirements (ie. Windows 10, Windows Server 2019). This section / infrastructure should be updated based on the production systems</w:t>
      </w:r>
      <w:r>
        <w:t xml:space="preserve">.</w:t>
      </w:r>
    </w:p>
    <w:p>
      <w:pPr>
        <w:pStyle w:val="BodyText"/>
      </w:pPr>
      <w:r>
        <w:t xml:space="preserve">The following section identifies requirements for the Solution.</w:t>
      </w:r>
    </w:p>
    <w:bookmarkStart w:id="14" w:name="functional-requirements"/>
    <w:p>
      <w:pPr>
        <w:pStyle w:val="Heading3"/>
      </w:pPr>
      <w:r>
        <w:rPr>
          <w:rStyle w:val="SectionNumber"/>
          <w:rFonts w:ascii="Avenir Next" w:hAnsi="Avenir Next"/>
          <w:b w:val="0"/>
          <w:i w:val="0"/>
          <w:color w:val="1F3040"/>
          <w:sz w:val="31"/>
        </w:rPr>
        <w:t xml:space="preserve">6.1</w:t>
      </w:r>
      <w:r>
        <w:rPr>
          <w:rFonts w:ascii="Avenir Next" w:hAnsi="Avenir Next"/>
          <w:b w:val="0"/>
          <w:i w:val="0"/>
          <w:color w:val="1F3040"/>
          <w:sz w:val="31"/>
        </w:rPr>
        <w:tab/>
      </w:r>
      <w:r>
        <w:rPr>
          <w:rFonts w:ascii="Avenir Next" w:hAnsi="Avenir Next"/>
          <w:b w:val="0"/>
          <w:i w:val="0"/>
          <w:color w:val="1F3040"/>
          <w:sz w:val="31"/>
        </w:rPr>
        <w:t xml:space="preserve">Functional Requirements</w:t>
      </w:r>
    </w:p>
    <w:p>
      <w:pPr>
        <w:pStyle w:val="FirstParagraph"/>
      </w:pPr>
      <w:r>
        <w:t xml:space="preserve">Functional Requirements that enable a system to perform the business process being automated. Items covered are safety, security including access control, audit trails, use of electronic signatures, output and unambiguous error messages.</w:t>
      </w:r>
    </w:p>
    <w:p>
      <w:pPr>
        <w:pStyle w:val="TableCaption"/>
      </w:pPr>
      <w:r>
        <w:t xml:space="preserve">Functional requirements</w:t>
      </w:r>
    </w:p>
    <w:tbl>
      <w:tblPr>
        <w:tblStyle w:val="Table"/>
        <w:tblW w:type="pct" w:w="5000"/>
        <w:tblLook w:firstRow="1" w:lastRow="0" w:firstColumn="0" w:lastColumn="0" w:noHBand="0" w:noVBand="0" w:val="0020"/>
        <w:tblCaption w:val="Functional requirements"/>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URS-027</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an administrator with the ability to view and print reports that provide information about additions and modifications of users and device associations.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URS-023</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only provides access to authorized users.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URS-039</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 mechanism to associate Nymi Bands to a single user.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URS-043</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 mechanism to allow user to re-associate their identity to their own Nymi Band or to a Nymi Band that is associated with another user who no longer uses their Nymi Band (self-service re-enrollment).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14"/>
    <w:bookmarkStart w:id="15" w:name="data-requirements"/>
    <w:p>
      <w:pPr>
        <w:pStyle w:val="Heading3"/>
      </w:pPr>
      <w:r>
        <w:rPr>
          <w:rStyle w:val="SectionNumber"/>
          <w:rFonts w:ascii="Avenir Next" w:hAnsi="Avenir Next"/>
          <w:b w:val="0"/>
          <w:i w:val="0"/>
          <w:color w:val="1F3040"/>
          <w:sz w:val="31"/>
        </w:rPr>
        <w:t xml:space="preserve">6.2</w:t>
      </w:r>
      <w:r>
        <w:rPr>
          <w:rFonts w:ascii="Avenir Next" w:hAnsi="Avenir Next"/>
          <w:b w:val="0"/>
          <w:i w:val="0"/>
          <w:color w:val="1F3040"/>
          <w:sz w:val="31"/>
        </w:rPr>
        <w:tab/>
      </w:r>
      <w:r>
        <w:rPr>
          <w:rFonts w:ascii="Avenir Next" w:hAnsi="Avenir Next"/>
          <w:b w:val="0"/>
          <w:i w:val="0"/>
          <w:color w:val="1F3040"/>
          <w:sz w:val="31"/>
        </w:rPr>
        <w:t xml:space="preserve">Data requirements</w:t>
      </w:r>
    </w:p>
    <w:p>
      <w:pPr>
        <w:pStyle w:val="FirstParagraph"/>
      </w:pPr>
      <w:r>
        <w:t xml:space="preserve">Data handling requirements should be considered to understand the impact to patient safety, product quality and data integrity. Items covered include electronic records, definition of data, required fields, data migration, data input and subsequent editing, backup and recovery, archive requirements, data security and integrity.</w:t>
      </w:r>
    </w:p>
    <w:p>
      <w:pPr>
        <w:pStyle w:val="TableCaption"/>
      </w:pPr>
      <w:r>
        <w:t xml:space="preserve">Data requirements</w:t>
      </w:r>
    </w:p>
    <w:tbl>
      <w:tblPr>
        <w:tblStyle w:val="Table"/>
        <w:tblW w:type="pct" w:w="5000"/>
        <w:tblLook w:firstRow="1" w:lastRow="0" w:firstColumn="0" w:lastColumn="0" w:noHBand="0" w:noVBand="0" w:val="0020"/>
        <w:tblCaption w:val="Data requirements"/>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URS-010</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stores biometric information in an encrypted format.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supports the backup and restore of any internal database that is used in the Solution.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URS-012</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Biometric information for authentication is not stored centrally.</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URS-013</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All passwords which are stored by the Solution are encrypted.</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URS-042</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assurance that the identity that is linked to the Nymi Band is the same as the user performs e-signatures with the Nymi Band.</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15"/>
    <w:bookmarkStart w:id="16" w:name="technical-requirements"/>
    <w:p>
      <w:pPr>
        <w:pStyle w:val="Heading3"/>
      </w:pPr>
      <w:r>
        <w:rPr>
          <w:rStyle w:val="SectionNumber"/>
          <w:rFonts w:ascii="Avenir Next" w:hAnsi="Avenir Next"/>
          <w:b w:val="0"/>
          <w:i w:val="0"/>
          <w:color w:val="1F3040"/>
          <w:sz w:val="31"/>
        </w:rPr>
        <w:t xml:space="preserve">6.3</w:t>
      </w:r>
      <w:r>
        <w:rPr>
          <w:rFonts w:ascii="Avenir Next" w:hAnsi="Avenir Next"/>
          <w:b w:val="0"/>
          <w:i w:val="0"/>
          <w:color w:val="1F3040"/>
          <w:sz w:val="31"/>
        </w:rPr>
        <w:tab/>
      </w:r>
      <w:r>
        <w:rPr>
          <w:rFonts w:ascii="Avenir Next" w:hAnsi="Avenir Next"/>
          <w:b w:val="0"/>
          <w:i w:val="0"/>
          <w:color w:val="1F3040"/>
          <w:sz w:val="31"/>
        </w:rPr>
        <w:t xml:space="preserve">Technical Requirements</w:t>
      </w:r>
    </w:p>
    <w:p>
      <w:pPr>
        <w:pStyle w:val="FirstParagraph"/>
      </w:pPr>
      <w:r>
        <w:t xml:space="preserve">Technical requirements outline any changes in system operation, disaster recovery, performance requirements, actions required in case of failure, access speed, hardware, portability, efficiency and configurability requirements.</w:t>
      </w:r>
    </w:p>
    <w:p>
      <w:pPr>
        <w:pStyle w:val="TableCaption"/>
      </w:pPr>
      <w:r>
        <w:t xml:space="preserve">Technical requirements</w:t>
      </w:r>
    </w:p>
    <w:tbl>
      <w:tblPr>
        <w:tblStyle w:val="Table"/>
        <w:tblW w:type="pct" w:w="5000"/>
        <w:tblLook w:firstRow="1" w:lastRow="0" w:firstColumn="0" w:lastColumn="0" w:noHBand="0" w:noVBand="0" w:val="0020"/>
        <w:tblCaption w:val="Technical requirements"/>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URS-029</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shall be configured so that there is no single point of failure.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URS-030</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An alternative method of authentication for the user shall be available for the operator if the wearable biometric is unavailable.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URS-009</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wearable biometric authentication device shall have means for charging.</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URS-007</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wearable biometric authentication device function shall function for the duration of an Operator shift (8-10hrs) on a single charge.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URS-020</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users with the ability to complete an authentication task such as login and e-signature, with a Nymi Band tap</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16"/>
    <w:bookmarkStart w:id="17" w:name="interface-requirements-user-interface"/>
    <w:p>
      <w:pPr>
        <w:pStyle w:val="Heading3"/>
      </w:pPr>
      <w:r>
        <w:rPr>
          <w:rStyle w:val="SectionNumber"/>
          <w:rFonts w:ascii="Avenir Next" w:hAnsi="Avenir Next"/>
          <w:b w:val="0"/>
          <w:i w:val="0"/>
          <w:color w:val="1F3040"/>
          <w:sz w:val="31"/>
        </w:rPr>
        <w:t xml:space="preserve">6.4</w:t>
      </w:r>
      <w:r>
        <w:rPr>
          <w:rFonts w:ascii="Avenir Next" w:hAnsi="Avenir Next"/>
          <w:b w:val="0"/>
          <w:i w:val="0"/>
          <w:color w:val="1F3040"/>
          <w:sz w:val="31"/>
        </w:rPr>
        <w:tab/>
      </w:r>
      <w:r>
        <w:rPr>
          <w:rFonts w:ascii="Avenir Next" w:hAnsi="Avenir Next"/>
          <w:b w:val="0"/>
          <w:i w:val="0"/>
          <w:color w:val="1F3040"/>
          <w:sz w:val="31"/>
        </w:rPr>
        <w:t xml:space="preserve">Interface requirements (User interface)</w:t>
      </w:r>
    </w:p>
    <w:tbl>
      <w:tblPr>
        <w:tblStyle w:val="Table"/>
        <w:tblW w:type="pct" w:w="5000"/>
        <w:tblLook w:firstRow="1" w:lastRow="0" w:firstColumn="0" w:lastColumn="0" w:noHBand="0" w:noVBand="0" w:val="0020"/>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shall operate on standard IT infrastructure. (Windows Server 2016).</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URS-002</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supports a deployment of server components in a virtualized environment.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URS-003</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integrates with single and multi-domain configurations in a single or multi-forest environment, with one-way or two-way trust.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URS-004</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secure communication with endpoints that require credential verification.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URS-014</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user authentication to Windows and the MES by using AD credentials.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URS-015</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 configurable login to the MES Applications with a pop-up windows for authentication.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URS-019</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 self-service administrative interface to associate and disassociate a user with a biometric device.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supports remote desktop services such as RDP to access and authenticate a remote MES Solution.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URS-022</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supports the use of thin clients to remotely access configuration applications and provide e-signatures over RDP and Citrix sessions.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URS-024</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Solution provides an administrator with the ability to view and modify Policies for the wearable authentication device.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URS-025</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Operators shall be able to visually check battery charge on the wearable device.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URS-026</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Operators shall be able to visually check the authentication status of the wearable biometric device. (authenticated or de-authenticated)</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URS-041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Operators shall be able to use the Nymi Band to complete authentication tasks in a web-based MES that the user accesses from an iOS or Windows device.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17"/>
    <w:bookmarkStart w:id="18" w:name="environment-requirements"/>
    <w:p>
      <w:pPr>
        <w:pStyle w:val="Heading3"/>
      </w:pPr>
      <w:r>
        <w:rPr>
          <w:rStyle w:val="SectionNumber"/>
          <w:rFonts w:ascii="Avenir Next" w:hAnsi="Avenir Next"/>
          <w:b w:val="0"/>
          <w:i w:val="0"/>
          <w:color w:val="1F3040"/>
          <w:sz w:val="31"/>
        </w:rPr>
        <w:t xml:space="preserve">6.5</w:t>
      </w:r>
      <w:r>
        <w:rPr>
          <w:rFonts w:ascii="Avenir Next" w:hAnsi="Avenir Next"/>
          <w:b w:val="0"/>
          <w:i w:val="0"/>
          <w:color w:val="1F3040"/>
          <w:sz w:val="31"/>
        </w:rPr>
        <w:tab/>
      </w:r>
      <w:r>
        <w:rPr>
          <w:rFonts w:ascii="Avenir Next" w:hAnsi="Avenir Next"/>
          <w:b w:val="0"/>
          <w:i w:val="0"/>
          <w:color w:val="1F3040"/>
          <w:sz w:val="31"/>
        </w:rPr>
        <w:t xml:space="preserve">Environment Requirements</w:t>
      </w:r>
    </w:p>
    <w:p>
      <w:pPr>
        <w:pStyle w:val="FirstParagraph"/>
      </w:pPr>
      <w:r>
        <w:t xml:space="preserve">Environment requirements outline that in which the system is to work including physical layout, physical conditions, physical security, power requirements and any special physical or logical requirements.</w:t>
      </w:r>
    </w:p>
    <w:p>
      <w:pPr>
        <w:pStyle w:val="BodyText"/>
      </w:pPr>
      <w:r>
        <w:rPr>
          <w:i/>
          <w:iCs/>
        </w:rPr>
        <w:t xml:space="preserve">Hardware and infrastructure requirements</w:t>
      </w:r>
    </w:p>
    <w:p>
      <w:pPr>
        <w:pStyle w:val="DefinitionTerm"/>
      </w:pPr>
      <w:r>
        <w:t xml:space="preserve">URS-005</w:t>
      </w:r>
    </w:p>
    <w:p>
      <w:pPr>
        <w:pStyle w:val="Definition"/>
      </w:pPr>
      <w:r>
        <w:rPr>
          <w:b/>
          <w:bCs/>
        </w:rPr>
        <w:t xml:space="preserve">Requirement:</w:t>
      </w:r>
      <w:r>
        <w:t xml:space="preserve"> </w:t>
      </w:r>
      <w:r>
        <w:t xml:space="preserve">The wearable biometric authentication device does not introduce any unacceptable risks to the health and safety risk of the person who wears the device.</w:t>
      </w:r>
    </w:p>
    <w:p>
      <w:pPr>
        <w:pStyle w:val="Definition"/>
      </w:pPr>
      <w:r>
        <w:rPr>
          <w:b/>
          <w:bCs/>
        </w:rPr>
        <w:t xml:space="preserve">Importance:</w:t>
      </w:r>
      <w:r>
        <w:t xml:space="preserve"> </w:t>
      </w:r>
      <w:r>
        <w:t xml:space="preserve">Mandatory</w:t>
      </w:r>
    </w:p>
    <w:p>
      <w:pPr>
        <w:pStyle w:val="DefinitionTerm"/>
      </w:pPr>
      <w:r>
        <w:t xml:space="preserve">URS-006</w:t>
      </w:r>
    </w:p>
    <w:p>
      <w:pPr>
        <w:pStyle w:val="Definition"/>
      </w:pPr>
      <w:r>
        <w:rPr>
          <w:b/>
          <w:bCs/>
        </w:rPr>
        <w:t xml:space="preserve">Requirement:</w:t>
      </w:r>
      <w:r>
        <w:t xml:space="preserve"> </w:t>
      </w:r>
      <w:r>
        <w:t xml:space="preserve">The wearable biometric device functions under personal protective equipment (PPE) suitable for Class A/B, Class C and Class D environments.</w:t>
      </w:r>
    </w:p>
    <w:p>
      <w:pPr>
        <w:pStyle w:val="Definition"/>
      </w:pPr>
      <w:r>
        <w:rPr>
          <w:b/>
          <w:bCs/>
        </w:rPr>
        <w:t xml:space="preserve">Importance:</w:t>
      </w:r>
      <w:r>
        <w:t xml:space="preserve"> </w:t>
      </w:r>
      <w:r>
        <w:t xml:space="preserve">Mandatory</w:t>
      </w:r>
    </w:p>
    <w:p>
      <w:pPr>
        <w:pStyle w:val="DefinitionTerm"/>
      </w:pPr>
      <w:r>
        <w:t xml:space="preserve">URS-008</w:t>
      </w:r>
    </w:p>
    <w:p>
      <w:pPr>
        <w:pStyle w:val="Definition"/>
      </w:pPr>
      <w:r>
        <w:rPr>
          <w:b/>
          <w:bCs/>
        </w:rPr>
        <w:t xml:space="preserve">Requirement:</w:t>
      </w:r>
      <w:r>
        <w:t xml:space="preserve"> </w:t>
      </w:r>
      <w:r>
        <w:t xml:space="preserve">The wearable biometric authentication device function shall be suitable for cleaning with isopropyl alcohol (IPA) 70% wipes and hydrogen peroxide.</w:t>
      </w:r>
    </w:p>
    <w:p>
      <w:pPr>
        <w:pStyle w:val="Definition"/>
      </w:pPr>
      <w:r>
        <w:rPr>
          <w:b/>
          <w:bCs/>
        </w:rPr>
        <w:t xml:space="preserve">Importance:</w:t>
      </w:r>
      <w:r>
        <w:t xml:space="preserve"> </w:t>
      </w:r>
      <w:r>
        <w:t xml:space="preserve">Mandatory</w:t>
      </w:r>
    </w:p>
    <w:p>
      <w:pPr>
        <w:pStyle w:val="DefinitionTerm"/>
      </w:pPr>
      <w:r>
        <w:t xml:space="preserve">URS-017</w:t>
      </w:r>
    </w:p>
    <w:p>
      <w:pPr>
        <w:pStyle w:val="Definition"/>
      </w:pPr>
      <w:r>
        <w:rPr>
          <w:b/>
          <w:bCs/>
        </w:rPr>
        <w:t xml:space="preserve">Requirement</w:t>
      </w:r>
    </w:p>
    <w:p>
      <w:pPr>
        <w:pStyle w:val="Definition"/>
      </w:pPr>
      <w:r>
        <w:t xml:space="preserve">The solution shall recognize the wearable biometric:</w:t>
      </w:r>
    </w:p>
    <w:p>
      <w:pPr>
        <w:pStyle w:val="Compact"/>
        <w:numPr>
          <w:ilvl w:val="0"/>
          <w:numId w:val="1008"/>
        </w:numPr>
      </w:pPr>
      <w:r>
        <w:t xml:space="preserve">On an NFC reader if 3 cm of plexiglass is between the NFC reader and the Nymi Band.</w:t>
      </w:r>
    </w:p>
    <w:p>
      <w:pPr>
        <w:pStyle w:val="Compact"/>
        <w:numPr>
          <w:ilvl w:val="0"/>
          <w:numId w:val="1008"/>
        </w:numPr>
      </w:pPr>
      <w:r>
        <w:t xml:space="preserve">On the Nymi-supplied blue tooth adapter when PPE is between the blue tooth adapter and the Nymi Band.</w:t>
      </w:r>
    </w:p>
    <w:p>
      <w:pPr>
        <w:pStyle w:val="Definition"/>
      </w:pPr>
      <w:r>
        <w:rPr>
          <w:b/>
          <w:bCs/>
        </w:rPr>
        <w:t xml:space="preserve">Importance:</w:t>
      </w:r>
      <w:r>
        <w:t xml:space="preserve"> </w:t>
      </w:r>
      <w:r>
        <w:t xml:space="preserve">Mandatory</w:t>
      </w:r>
    </w:p>
    <w:p>
      <w:pPr>
        <w:pStyle w:val="DefinitionTerm"/>
      </w:pPr>
      <w:r>
        <w:t xml:space="preserve">URS-040</w:t>
      </w:r>
    </w:p>
    <w:p>
      <w:pPr>
        <w:pStyle w:val="Definition"/>
      </w:pPr>
      <w:r>
        <w:rPr>
          <w:b/>
          <w:bCs/>
        </w:rPr>
        <w:t xml:space="preserve">Requirement:</w:t>
      </w:r>
      <w:r>
        <w:t xml:space="preserve"> </w:t>
      </w:r>
      <w:r>
        <w:t xml:space="preserve">The wearable biometric authentication device shall be suitable for ANSI 12.12.03.2011 compliant environments.</w:t>
      </w:r>
    </w:p>
    <w:p>
      <w:pPr>
        <w:pStyle w:val="Definition"/>
      </w:pPr>
      <w:r>
        <w:rPr>
          <w:b/>
          <w:bCs/>
        </w:rPr>
        <w:t xml:space="preserve">Importance:</w:t>
      </w:r>
      <w:r>
        <w:t xml:space="preserve"> </w:t>
      </w:r>
      <w:r>
        <w:t xml:space="preserve">Mandatory</w:t>
      </w:r>
    </w:p>
    <w:bookmarkEnd w:id="18"/>
    <w:bookmarkEnd w:id="19"/>
    <w:bookmarkStart w:id="20" w:name="constraints"/>
    <w:p>
      <w:pPr>
        <w:pStyle w:val="Heading2"/>
        <w:pageBreakBefore/>
      </w:pPr>
      <w:r>
        <w:rPr>
          <w:rStyle w:val="SectionNumber"/>
          <w:rFonts w:ascii="Avenir Next" w:hAnsi="Avenir Next"/>
          <w:b w:val="0"/>
          <w:i w:val="0"/>
          <w:color w:val="28BEC6"/>
          <w:sz w:val="36"/>
        </w:rPr>
        <w:t xml:space="preserve">7</w:t>
      </w:r>
      <w:r>
        <w:rPr>
          <w:rFonts w:ascii="Avenir Next" w:hAnsi="Avenir Next"/>
          <w:b w:val="0"/>
          <w:i w:val="0"/>
          <w:color w:val="28BEC6"/>
          <w:sz w:val="36"/>
        </w:rPr>
        <w:tab/>
      </w:r>
      <w:r>
        <w:rPr>
          <w:rFonts w:ascii="Avenir Next" w:hAnsi="Avenir Next"/>
          <w:b w:val="0"/>
          <w:i w:val="0"/>
          <w:color w:val="28BEC6"/>
          <w:sz w:val="36"/>
        </w:rPr>
        <w:t xml:space="preserve">Constraints</w:t>
      </w:r>
    </w:p>
    <w:p>
      <w:pPr>
        <w:pStyle w:val="TableCaption"/>
      </w:pPr>
      <w:r>
        <w:t xml:space="preserve">Constraints</w:t>
      </w:r>
    </w:p>
    <w:tbl>
      <w:tblPr>
        <w:tblStyle w:val="Table"/>
        <w:tblW w:type="pct" w:w="5000"/>
        <w:tblLook w:firstRow="1" w:lastRow="0" w:firstColumn="0" w:lastColumn="0" w:noHBand="0" w:noVBand="0" w:val="0020"/>
        <w:tblCaption w:val="Constraints"/>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provides maintenance and support for the Solution.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URS-034</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meets the requirements for the Supplier Evaluation Process.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URS-035</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 Service Level Agreement shall be implemented with the Supplier.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20"/>
    <w:bookmarkStart w:id="21" w:name="lifecycle-requirements"/>
    <w:p>
      <w:pPr>
        <w:pStyle w:val="Heading2"/>
        <w:pageBreakBefore/>
      </w:pPr>
      <w:r>
        <w:rPr>
          <w:rStyle w:val="SectionNumber"/>
          <w:rFonts w:ascii="Avenir Next" w:hAnsi="Avenir Next"/>
          <w:b w:val="0"/>
          <w:i w:val="0"/>
          <w:color w:val="28BEC6"/>
          <w:sz w:val="36"/>
        </w:rPr>
        <w:t xml:space="preserve">8</w:t>
      </w:r>
      <w:r>
        <w:rPr>
          <w:rFonts w:ascii="Avenir Next" w:hAnsi="Avenir Next"/>
          <w:b w:val="0"/>
          <w:i w:val="0"/>
          <w:color w:val="28BEC6"/>
          <w:sz w:val="36"/>
        </w:rPr>
        <w:tab/>
      </w:r>
      <w:r>
        <w:rPr>
          <w:rFonts w:ascii="Avenir Next" w:hAnsi="Avenir Next"/>
          <w:b w:val="0"/>
          <w:i w:val="0"/>
          <w:color w:val="28BEC6"/>
          <w:sz w:val="36"/>
        </w:rPr>
        <w:t xml:space="preserve">Lifecycle Requirements</w:t>
      </w:r>
    </w:p>
    <w:p>
      <w:pPr>
        <w:pStyle w:val="TableCaption"/>
      </w:pPr>
      <w:r>
        <w:t xml:space="preserve">General supplier requirements</w:t>
      </w:r>
    </w:p>
    <w:tbl>
      <w:tblPr>
        <w:tblStyle w:val="Table"/>
        <w:tblW w:type="pct" w:w="5000"/>
        <w:tblLook w:firstRow="1" w:lastRow="0" w:firstColumn="0" w:lastColumn="0" w:noHBand="0" w:noVBand="0" w:val="0020"/>
        <w:tblCaption w:val="General supplier requirements"/>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2640"/>
        <w:gridCol w:w="2640"/>
        <w:gridCol w:w="264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Number</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Requirement</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Importance</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provides maintenance and support for the Solution.</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URS-032</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provides administrator and user training documents.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URS-033</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is able to license and support the software.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URS-036</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has a mechanism in place to provide notification of software changes, including software upgrades, hotfixes, and patches.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URS-037</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shall provide specifications for the function and design of the Solution to satisfy applicable requirements in the URS.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URS-038</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The Supplier shall provide documentation in the form of system manuals and software administration manuals in electronic format, at a minimum, where applicable.</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Mandatory</w:t>
            </w:r>
          </w:p>
        </w:tc>
      </w:tr>
    </w:tbl>
    <w:bookmarkEnd w:id="21"/>
    <w:bookmarkStart w:id="22" w:name="glossary"/>
    <w:p>
      <w:pPr>
        <w:pStyle w:val="Heading2"/>
        <w:pageBreakBefore/>
      </w:pPr>
      <w:r>
        <w:rPr>
          <w:rStyle w:val="SectionNumber"/>
          <w:rFonts w:ascii="Avenir Next" w:hAnsi="Avenir Next"/>
          <w:b w:val="0"/>
          <w:i w:val="0"/>
          <w:color w:val="28BEC6"/>
          <w:sz w:val="36"/>
        </w:rPr>
        <w:t xml:space="preserve">9</w:t>
      </w:r>
      <w:r>
        <w:rPr>
          <w:rFonts w:ascii="Avenir Next" w:hAnsi="Avenir Next"/>
          <w:b w:val="0"/>
          <w:i w:val="0"/>
          <w:color w:val="28BEC6"/>
          <w:sz w:val="36"/>
        </w:rPr>
        <w:tab/>
      </w:r>
      <w:r>
        <w:rPr>
          <w:rFonts w:ascii="Avenir Next" w:hAnsi="Avenir Next"/>
          <w:b w:val="0"/>
          <w:i w:val="0"/>
          <w:color w:val="28BEC6"/>
          <w:sz w:val="36"/>
        </w:rPr>
        <w:t xml:space="preserve">Glossary</w:t>
      </w:r>
    </w:p>
    <w:p>
      <w:pPr>
        <w:pStyle w:val="FirstParagraph"/>
      </w:pPr>
      <w:r>
        <w:t xml:space="preserve">Definitions/acronyms used throughout this document are defined below.</w:t>
      </w:r>
    </w:p>
    <w:p>
      <w:pPr>
        <w:pStyle w:val="TableCaption"/>
      </w:pPr>
      <w:r>
        <w:t xml:space="preserve">Glossary</w:t>
      </w:r>
    </w:p>
    <w:tbl>
      <w:tblPr>
        <w:tblStyle w:val="Table"/>
        <w:tblW w:type="pct" w:w="5000"/>
        <w:tblLook w:firstRow="1" w:lastRow="0" w:firstColumn="0" w:lastColumn="0" w:noHBand="0" w:noVBand="0" w:val="0020"/>
        <w:tblCaption w:val="Glossary"/>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autofit"/>
      </w:tblPr>
      <w:tblGrid>
        <w:gridCol w:w="3960"/>
        <w:gridCol w:w="3960"/>
      </w:tblGrid>
      <w:tr>
        <w:trPr>
          <w:tblHeader w:val="on"/>
        </w:trP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Acronym</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Definition</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AD</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Active Directory. Directory service for domain networks.</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MES</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Manufacturing Execution System</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CWP</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Connected Worker Platform</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Class A</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Class A clean rooms are for high-risk operations (eg. filling zone, stopper bowls, open ampoules and vials and, making aseptic connections). Class A environments are sterile environments</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Class B</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Class B Clean rooms provide the background environment for grade A zone items needing aseptic preparation and filling.</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Class D</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Environments for less critical tasks in the manufacturing process.</w:t>
            </w:r>
          </w:p>
        </w:tc>
      </w:tr>
      <w:tr>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21 CFR Part 11</w:t>
            </w:r>
          </w:p>
        </w:tc>
        <w:tc>
          <w:tcPr>
            <w:tcBorders>
              <w:top w:val="single" w:sz="4" w:space="0" w:color="CCCCCC"/>
              <w:left w:val="single" w:sz="4" w:space="0" w:color="CCCCCC"/>
              <w:bottom w:val="single" w:sz="4" w:space="0" w:color="CCCCCC"/>
              <w:right w:val="single" w:sz="4" w:space="0" w:color="CCCCCC"/>
            </w:tcBorders>
          </w:tcPr>
          <w:p>
            <w:pPr>
              <w:pStyle w:val="Compact"/>
            </w:pPr>
            <w:r>
              <w:rPr>
                <w:rFonts w:ascii="Avenir Next" w:hAnsi="Avenir Next"/>
                <w:sz w:val="18"/>
              </w:rPr>
              <w:t xml:space="preserve">Part of Title 21 of the Code of Federal Regulations that establishes the United States Food and Drug Administration regulations on electronic records and electronic signatures.</w:t>
            </w:r>
          </w:p>
        </w:tc>
      </w:tr>
    </w:tbl>
    <w:bookmarkEnd w:id="22"/>
    <w:bookmarkStart w:id="23" w:name="approvals"/>
    <w:p>
      <w:pPr>
        <w:pStyle w:val="Heading2"/>
        <w:pageBreakBefore/>
      </w:pPr>
      <w:r>
        <w:rPr>
          <w:rStyle w:val="SectionNumber"/>
          <w:rFonts w:ascii="Avenir Next" w:hAnsi="Avenir Next"/>
          <w:b w:val="0"/>
          <w:i w:val="0"/>
          <w:color w:val="28BEC6"/>
          <w:sz w:val="36"/>
        </w:rPr>
        <w:t xml:space="preserve">10</w:t>
      </w:r>
      <w:r>
        <w:rPr>
          <w:rFonts w:ascii="Avenir Next" w:hAnsi="Avenir Next"/>
          <w:b w:val="0"/>
          <w:i w:val="0"/>
          <w:color w:val="28BEC6"/>
          <w:sz w:val="36"/>
        </w:rPr>
        <w:tab/>
      </w:r>
      <w:r>
        <w:rPr>
          <w:rFonts w:ascii="Avenir Next" w:hAnsi="Avenir Next"/>
          <w:b w:val="0"/>
          <w:i w:val="0"/>
          <w:color w:val="28BEC6"/>
          <w:sz w:val="36"/>
        </w:rPr>
        <w:t xml:space="preserve">Approvals</w:t>
      </w:r>
    </w:p>
    <w:p>
      <w:pPr>
        <w:pStyle w:val="FirstParagraph"/>
      </w:pPr>
      <w:r>
        <w:t xml:space="preserve">This document is approved for use as a sample URS.</w:t>
      </w:r>
    </w:p>
    <w:bookmarkEnd w:id="23"/>
    <w:bookmarkStart w:id="24" w:name="out-of-scope"/>
    <w:p>
      <w:pPr>
        <w:pStyle w:val="Heading2"/>
        <w:pageBreakBefore/>
      </w:pPr>
      <w:r>
        <w:rPr>
          <w:rStyle w:val="SectionNumber"/>
          <w:rFonts w:ascii="Avenir Next" w:hAnsi="Avenir Next"/>
          <w:b w:val="0"/>
          <w:i w:val="0"/>
          <w:color w:val="28BEC6"/>
          <w:sz w:val="36"/>
        </w:rPr>
        <w:t xml:space="preserve">11</w:t>
      </w:r>
      <w:r>
        <w:rPr>
          <w:rFonts w:ascii="Avenir Next" w:hAnsi="Avenir Next"/>
          <w:b w:val="0"/>
          <w:i w:val="0"/>
          <w:color w:val="28BEC6"/>
          <w:sz w:val="36"/>
        </w:rPr>
        <w:tab/>
      </w:r>
      <w:r>
        <w:rPr>
          <w:rFonts w:ascii="Avenir Next" w:hAnsi="Avenir Next"/>
          <w:b w:val="0"/>
          <w:i w:val="0"/>
          <w:color w:val="28BEC6"/>
          <w:sz w:val="36"/>
        </w:rPr>
        <w:t xml:space="preserve">Out of Scope</w:t>
      </w:r>
    </w:p>
    <w:p>
      <w:pPr>
        <w:pStyle w:val="FirstParagraph"/>
      </w:pPr>
      <w:r>
        <w:t xml:space="preserve">For the intent of this sample URS the solution covers Connected Worker Platform (CWP) for providing biometric authentication with configured application, such as a Manufacturing Execution System (MES).</w:t>
      </w:r>
    </w:p>
    <w:p>
      <w:pPr>
        <w:pStyle w:val="BodyText"/>
      </w:pPr>
      <w:r>
        <w:t xml:space="preserve">The sample requirements outlined in this document are related to NEE requirements. The sample does not cover requirements covered by an MES and a thorough URS that should cover the entire system, including processes, procedures and policies. Each customer environment is unique, and a full set of requirements should be produced when implementing CWP with an MES.</w:t>
      </w:r>
    </w:p>
    <w:bookmarkEnd w:id="24"/>
    <w:sectPr>
      <w:footnotePr>
        <w:numRestart w:val="eachSect"/>
      </w:footnotePr>
      <w:pgSz w:h="15840" w:w="12240"/>
      <w:pgMar w:bottom="1440" w:left="1440" w:right="1440" w:top="14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w="http://schemas.openxmlformats.org/wordprocessingml/2006/main">
  <w:zoom w:percent="100"/>
  <w:embedSystemFonts/>
  <w:proofState w:grammar="clean" w:spelling="clean"/>
  <w:stylePaneFormatFilter w:val="0004"/>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trackRevisions/>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venir Next" w:hAnsi="Avenir Next"/>
      <w:color w:val="3C3D3E"/>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Avenir Next" w:asciiTheme="majorHAnsi" w:cstheme="majorBidi" w:eastAsiaTheme="majorEastAsia" w:hAnsi="Avenir Next" w:hAnsiTheme="majorHAnsi"/>
      <w:b w:val="0"/>
      <w:color w:val="28BEC6"/>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ascii="Avenir Next" w:cstheme="majorBidi" w:eastAsiaTheme="majorEastAsia" w:hAnsi="Avenir Next"/>
      <w:b w:val="0"/>
      <w:color w:val="28BEC6"/>
      <w:spacing w:val="15"/>
      <w:sz w:val="36"/>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rFonts w:ascii="Avenir Next" w:hAnsi="Avenir Next"/>
      <w:color w:val="3C3D3E"/>
      <w:sz w:val="24"/>
      <w:szCs w:val="24"/>
    </w:rPr>
  </w:style>
  <w:style w:styleId="Date" w:type="paragraph">
    <w:name w:val="Date"/>
    <w:basedOn w:val="Title"/>
    <w:next w:val="BodyText"/>
    <w:qFormat/>
    <w:pPr>
      <w:keepNext/>
      <w:keepLines/>
    </w:pPr>
    <w:rPr>
      <w:rFonts w:ascii="Avenir Next" w:hAnsi="Avenir Next"/>
      <w:color w:val="3C3D3E"/>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Avenir Next" w:asciiTheme="majorHAnsi" w:cstheme="majorBidi" w:eastAsiaTheme="majorEastAsia" w:hAnsi="Avenir Next" w:hAnsiTheme="majorHAnsi"/>
      <w:b/>
      <w:color w:val="1F30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Avenir Next" w:asciiTheme="majorHAnsi" w:cstheme="majorBidi" w:eastAsiaTheme="majorEastAsia" w:hAnsi="Avenir Next" w:hAnsiTheme="majorHAnsi"/>
      <w:b w:val="0"/>
      <w:color w:val="1F30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Avenir Next" w:cstheme="majorBidi" w:eastAsiaTheme="majorEastAsia" w:hAnsi="Avenir Next"/>
      <w:b w:val="0"/>
      <w:color w:val="1F30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Avenir Next" w:cstheme="majorBidi" w:eastAsiaTheme="majorEastAsia" w:hAnsi="Avenir Next"/>
      <w:b w:val="0"/>
      <w:i/>
      <w:iCs/>
      <w:color w:val="1F3040"/>
      <w:sz w:val="24"/>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Avenir Next" w:cstheme="majorBidi" w:eastAsiaTheme="majorEastAsia" w:hAnsi="Avenir Next"/>
      <w:b w:val="0"/>
      <w:color w:val="1F3040"/>
      <w:sz w:val="24"/>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Avenir Next" w:cstheme="majorBidi" w:eastAsiaTheme="majorEastAsia" w:hAnsi="Avenir Next"/>
      <w:b w:val="0"/>
      <w:i/>
      <w:iCs/>
      <w:color w:val="1F3040"/>
      <w:sz w:val="24"/>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rPr>
      <w:rFonts w:ascii="Avenir Next" w:hAnsi="Avenir Next"/>
      <w:i/>
      <w:color w:val="3C3D3E"/>
      <w:sz w:val="22"/>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rPr>
      <w:rFonts w:ascii="Avenir Next" w:hAnsi="Avenir Next"/>
      <w:color w:val="3C3D3E"/>
      <w:sz w:val="20"/>
    </w:rPr>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pBdr>
        <w:top w:color="E3E8EC" w:space="8" w:sz="4" w:val="single"/>
      </w:pBd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Avenir Next" w:asciiTheme="majorHAnsi" w:cstheme="majorBidi" w:eastAsiaTheme="majorEastAsia" w:hAnsi="Avenir Next" w:hAnsiTheme="majorHAnsi"/>
      <w:b/>
      <w:bCs w:val="0"/>
      <w:color w:val="1F3040"/>
      <w:sz w:val="32"/>
    </w:rPr>
  </w:style>
  <w:style w:customStyle="1" w:styleId="Callout" w:type="paragraph">
    <w:name w:val="Callout"/>
    <w:basedOn w:val="Normal"/>
    <w:pPr>
      <w:pBdr>
        <w:left w:color="28BEC6" w:space="0" w:sz="24" w:val="single"/>
      </w:pBdr>
      <w:shd w:color="auto" w:fill="EEF9FA" w:val="clear"/>
      <w:spacing w:after="80" w:before="80"/>
      <w:ind w:left="0" w:right="144"/>
    </w:pPr>
    <w:rPr>
      <w:rFonts w:ascii="Avenir Next" w:hAnsi="Avenir Next"/>
      <w:color w:val="3C3D3E"/>
      <w:sz w:val="22"/>
    </w:rPr>
  </w:style>
  <w:style w:customStyle="1" w:styleId="SourceCode" w:type="paragraph">
    <w:name w:val="Source Code"/>
    <w:basedOn w:val="Normal"/>
    <w:pPr>
      <w:pBdr>
        <w:top w:color="D8DEE3" w:space="6" w:sz="4" w:val="single"/>
        <w:left w:color="D8DEE3" w:space="6" w:sz="4" w:val="single"/>
        <w:bottom w:color="D8DEE3" w:space="6" w:sz="4" w:val="single"/>
        <w:right w:color="D8DEE3" w:space="6" w:sz="4" w:val="single"/>
      </w:pBdr>
      <w:shd w:color="auto" w:fill="F6F8FA" w:val="clear"/>
      <w:spacing w:after="120" w:before="120"/>
      <w:ind w:left="72" w:right="72"/>
    </w:pPr>
    <w:rPr>
      <w:rFonts w:ascii="Consolas" w:hAnsi="Consolas"/>
      <w:color w:val="243B4A"/>
      <w:sz w:val="18"/>
    </w:rPr>
  </w:style>
  <w:style w:customStyle="1" w:styleId="TOC1" w:type="paragraph">
    <w:name w:val="TOC 1"/>
    <w:basedOn w:val="Normal"/>
    <w:pPr>
      <w:spacing w:after="40" w:line="259" w:lineRule="auto"/>
    </w:pPr>
    <w:rPr>
      <w:rFonts w:ascii="Avenir Next" w:hAnsi="Avenir Next"/>
      <w:color w:val="3C3D3E"/>
      <w:sz w:val="22"/>
    </w:rPr>
  </w:style>
  <w:style w:customStyle="1" w:styleId="TOC2" w:type="paragraph">
    <w:name w:val="TOC 2"/>
    <w:basedOn w:val="Normal"/>
    <w:pPr>
      <w:spacing w:after="40" w:line="259" w:lineRule="auto"/>
      <w:ind w:left="360"/>
    </w:pPr>
    <w:rPr>
      <w:rFonts w:ascii="Avenir Next" w:hAnsi="Avenir Next"/>
      <w:color w:val="3C3D3E"/>
      <w:sz w:val="22"/>
    </w:rPr>
  </w:style>
  <w:style w:customStyle="1" w:styleId="TOC3" w:type="paragraph">
    <w:name w:val="TOC 3"/>
    <w:basedOn w:val="Normal"/>
    <w:pPr>
      <w:spacing w:after="40" w:line="259" w:lineRule="auto"/>
      <w:ind w:left="720"/>
    </w:pPr>
    <w:rPr>
      <w:rFonts w:ascii="Avenir Next" w:hAnsi="Avenir Next"/>
      <w:color w:val="3C3D3E"/>
      <w:sz w:val="22"/>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nwt:source xmlns:nwt="http://nymi.com/writing-tools/source" version="1" encoding="base64">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</nwt:source>
</file>

<file path=customXml/itemProps2.xml><?xml version="1.0" encoding="utf-8"?>
<ds:datastoreItem xmlns:ds="http://schemas.openxmlformats.org/officeDocument/2006/customXml" ds:itemID="{7A3B72F8-1317-42A8-9EE4-BC0081E0B306}">
  <ds:schemaRefs>
    <ds:schemaRef ds:uri="http://nymi.com/writing-tools/source"/>
  </ds:schemaRefs>
</ds:datastoreItem>
</file>

<file path=docProps/app.xml><?xml version="1.0" encoding="utf-8"?>
<Properties xmlns="http://schemas.openxmlformats.org/officeDocument/2006/extended-properties">
  <Words>83</Words>
  <SharedDoc>false</SharedDoc>
  <HyperlinksChanged>false</HyperlinksChanged>
  <Lines>12</Lines>
  <AppVersion>12.0000</AppVersion>
  <LinksUpToDate>false</LinksUpToDate>
  <Application>nwt 0.8.0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xsi="http://www.w3.org/2001/XMLSchema-instance">
  <dc:title>Nymi User Requirements Specifications</dc:title>
  <dc:creator>Nymi Inc.</dc:creator>
  <cp:keywords/>
  <dcterms:created xsi:type="dcterms:W3CDTF">2026-07-29T18:50:36Z</dcterms:created>
  <dcterms:modified xsi:type="dcterms:W3CDTF">2026-07-29T18:50:36Z</dcterms:modified>
  <dc:description>Generated by nwt 0.8.0</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_year">
    <vt:lpwstr>2026</vt:lpwstr>
  </property>
  <property fmtid="{D5CDD505-2E9C-101B-9397-08002B2CF9AE}" pid="3" name="meta_line">
    <vt:lpwstr>1.5.x-1.20.x 2026-04-11</vt:lpwstr>
  </property>
  <property fmtid="{D5CDD505-2E9C-101B-9397-08002B2CF9AE}" pid="4" name="subtitle">
    <vt:lpwstr>Connected Worker Platform</vt:lpwstr>
  </property>
  <property fmtid="{D5CDD505-2E9C-101B-9397-08002B2CF9AE}" pid="5" name="nwt-version">
    <vt:lpwstr>0.8.0</vt:lpwstr>
  </property>
  <property fmtid="{D5CDD505-2E9C-101B-9397-08002B2CF9AE}" pid="6" name="nwt-build-date">
    <vt:lpwstr>2026-07-29T18:50:36Z</vt:lpwstr>
  </property>
</Properties>
</file>